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BFDFD" w14:textId="2113F6FF" w:rsidR="007743CC" w:rsidRPr="00E872B5" w:rsidRDefault="007D3A81" w:rsidP="007743CC">
      <w:pPr>
        <w:jc w:val="center"/>
        <w:rPr>
          <w:sz w:val="28"/>
          <w:szCs w:val="28"/>
          <w:lang w:val="en-GB"/>
        </w:rPr>
      </w:pPr>
      <w:bookmarkStart w:id="0" w:name="_Toc1042870"/>
      <w:r>
        <w:rPr>
          <w:sz w:val="28"/>
          <w:szCs w:val="28"/>
          <w:lang w:val="en-GB"/>
        </w:rPr>
        <w:t xml:space="preserve">Appendix 2: </w:t>
      </w:r>
      <w:r w:rsidR="007743CC" w:rsidRPr="00E872B5">
        <w:rPr>
          <w:sz w:val="28"/>
          <w:szCs w:val="28"/>
          <w:lang w:val="en-GB"/>
        </w:rPr>
        <w:t xml:space="preserve">Hyperspectral </w:t>
      </w:r>
      <w:bookmarkEnd w:id="0"/>
      <w:r>
        <w:rPr>
          <w:sz w:val="28"/>
          <w:szCs w:val="28"/>
          <w:lang w:val="en-GB"/>
        </w:rPr>
        <w:t>imaging</w:t>
      </w:r>
      <w:r w:rsidR="007743CC" w:rsidRPr="00E872B5">
        <w:rPr>
          <w:sz w:val="28"/>
          <w:szCs w:val="28"/>
          <w:lang w:val="en-GB"/>
        </w:rPr>
        <w:t xml:space="preserve"> method</w:t>
      </w:r>
    </w:p>
    <w:p w14:paraId="512FD809" w14:textId="77777777" w:rsidR="00211245" w:rsidRPr="00E872B5" w:rsidRDefault="00211245" w:rsidP="007743CC">
      <w:pPr>
        <w:jc w:val="center"/>
        <w:rPr>
          <w:sz w:val="28"/>
          <w:szCs w:val="28"/>
          <w:lang w:val="en-GB"/>
        </w:rPr>
      </w:pPr>
    </w:p>
    <w:p w14:paraId="011BCAA6" w14:textId="6FDE37A0" w:rsidR="007743CC" w:rsidRPr="00E872B5" w:rsidRDefault="00211245" w:rsidP="00211245">
      <w:pPr>
        <w:pStyle w:val="Heading1"/>
        <w:rPr>
          <w:lang w:val="en-GB"/>
        </w:rPr>
      </w:pPr>
      <w:r w:rsidRPr="00E872B5">
        <w:rPr>
          <w:lang w:val="en-GB"/>
        </w:rPr>
        <w:t>Principle</w:t>
      </w:r>
      <w:bookmarkStart w:id="1" w:name="_GoBack"/>
      <w:bookmarkEnd w:id="1"/>
    </w:p>
    <w:p w14:paraId="2239FFD3" w14:textId="3972FB70" w:rsidR="007743CC" w:rsidRPr="00E872B5" w:rsidRDefault="007743CC" w:rsidP="007743CC">
      <w:pPr>
        <w:spacing w:line="276" w:lineRule="auto"/>
        <w:rPr>
          <w:lang w:val="en-GB"/>
        </w:rPr>
      </w:pPr>
      <w:r w:rsidRPr="00E872B5">
        <w:rPr>
          <w:lang w:val="en-GB"/>
        </w:rPr>
        <w:t>Hyperspectral scanning, which consist of acquiring data continuously over numerous short wavelength intervals to obtain information about the mineralogy of the rocks (</w:t>
      </w:r>
      <w:r w:rsidRPr="00E872B5">
        <w:rPr>
          <w:highlight w:val="cyan"/>
          <w:lang w:val="en-GB"/>
        </w:rPr>
        <w:t>Fig.</w:t>
      </w:r>
      <w:r w:rsidRPr="00E872B5">
        <w:rPr>
          <w:lang w:val="en-GB"/>
        </w:rPr>
        <w:t xml:space="preserve"> </w:t>
      </w:r>
      <w:r w:rsidR="00211245" w:rsidRPr="00E872B5">
        <w:rPr>
          <w:lang w:val="en-GB"/>
        </w:rPr>
        <w:t>1</w:t>
      </w:r>
      <w:r w:rsidRPr="00E872B5">
        <w:rPr>
          <w:lang w:val="en-GB"/>
        </w:rPr>
        <w:t xml:space="preserve">), is a recent technique more and more popular in the exploration industry. It allows to log cores more efficiently and objectively. It can also be used as a remote sensing techniques </w:t>
      </w:r>
      <w:r w:rsidRPr="00E872B5">
        <w:rPr>
          <w:lang w:val="en-GB"/>
        </w:rPr>
        <w:fldChar w:fldCharType="begin"/>
      </w:r>
      <w:r w:rsidRPr="00E872B5">
        <w:rPr>
          <w:lang w:val="en-GB"/>
        </w:rPr>
        <w:instrText xml:space="preserve"> ADDIN EN.CITE &lt;EndNote&gt;&lt;Cite&gt;&lt;Author&gt;Neave&lt;/Author&gt;&lt;Year&gt;2018&lt;/Year&gt;&lt;RecNum&gt;691&lt;/RecNum&gt;&lt;DisplayText&gt;(Neave&lt;style face="italic"&gt; et al.&lt;/style&gt;, 2018)&lt;/DisplayText&gt;&lt;record&gt;&lt;rec-number&gt;691&lt;/rec-number&gt;&lt;foreign-keys&gt;&lt;key app="EN" db-id="0295evrvgd95rcezz5rp000btefsrzda50vd"&gt;691&lt;/key&gt;&lt;/foreign-keys&gt;&lt;ref-type name="Journal Article"&gt;17&lt;/ref-type&gt;&lt;contributors&gt;&lt;authors&gt;&lt;author&gt;Neave, David A.  &lt;/author&gt;&lt;author&gt;Black, Martin &lt;/author&gt;&lt;author&gt;Riley, Teal R. &lt;/author&gt;&lt;author&gt;Gibson, Sally A. &lt;/author&gt;&lt;author&gt;Ferrier, Graham &lt;/author&gt;&lt;author&gt;Wall, Frances  &lt;/author&gt;&lt;author&gt;Broom-Fendley, Sam  &lt;/author&gt;&lt;/authors&gt;&lt;/contributors&gt;&lt;titles&gt;&lt;title&gt;On the Feasibility of Imaging Carbonatite-Hosted Rare Earth Element Deposits&amp;#xD;Using Remote Sensing*&lt;/title&gt;&lt;secondary-title&gt;Economic Geology&lt;/secondary-title&gt;&lt;/titles&gt;&lt;periodical&gt;&lt;full-title&gt;Economic Geology&lt;/full-title&gt;&lt;/periodical&gt;&lt;pages&gt;641-665&lt;/pages&gt;&lt;volume&gt;111&lt;/volume&gt;&lt;keywords&gt;&lt;keyword&gt;carbonatite&lt;/keyword&gt;&lt;keyword&gt;REE depsosit&lt;/keyword&gt;&lt;keyword&gt;hyperspectral imaging&lt;/keyword&gt;&lt;keyword&gt;remote sensing&lt;/keyword&gt;&lt;/keywords&gt;&lt;dates&gt;&lt;year&gt;2018&lt;/year&gt;&lt;/dates&gt;&lt;urls&gt;&lt;/urls&gt;&lt;/record&gt;&lt;/Cite&gt;&lt;/EndNote&gt;</w:instrText>
      </w:r>
      <w:r w:rsidRPr="00E872B5">
        <w:rPr>
          <w:lang w:val="en-GB"/>
        </w:rPr>
        <w:fldChar w:fldCharType="separate"/>
      </w:r>
      <w:r w:rsidRPr="00E872B5">
        <w:rPr>
          <w:noProof/>
          <w:lang w:val="en-GB"/>
        </w:rPr>
        <w:t>(</w:t>
      </w:r>
      <w:hyperlink w:anchor="_ENREF_3" w:tooltip="Neave, 2018 #691" w:history="1">
        <w:r w:rsidR="00E872B5" w:rsidRPr="00E872B5">
          <w:rPr>
            <w:noProof/>
            <w:lang w:val="en-GB"/>
          </w:rPr>
          <w:t>Neave</w:t>
        </w:r>
        <w:r w:rsidR="00E872B5" w:rsidRPr="00E872B5">
          <w:rPr>
            <w:i/>
            <w:noProof/>
            <w:lang w:val="en-GB"/>
          </w:rPr>
          <w:t xml:space="preserve"> et al.</w:t>
        </w:r>
        <w:r w:rsidR="00E872B5" w:rsidRPr="00E872B5">
          <w:rPr>
            <w:noProof/>
            <w:lang w:val="en-GB"/>
          </w:rPr>
          <w:t>, 2018</w:t>
        </w:r>
      </w:hyperlink>
      <w:r w:rsidRPr="00E872B5">
        <w:rPr>
          <w:noProof/>
          <w:lang w:val="en-GB"/>
        </w:rPr>
        <w:t>)</w:t>
      </w:r>
      <w:r w:rsidRPr="00E872B5">
        <w:rPr>
          <w:lang w:val="en-GB"/>
        </w:rPr>
        <w:fldChar w:fldCharType="end"/>
      </w:r>
      <w:r w:rsidRPr="00E872B5">
        <w:rPr>
          <w:lang w:val="en-GB"/>
        </w:rPr>
        <w:t xml:space="preserve">, where cameras are mounted on a plane or a helicopter to survey large areas. </w:t>
      </w:r>
    </w:p>
    <w:p w14:paraId="2617FA00" w14:textId="77777777" w:rsidR="007743CC" w:rsidRPr="00E872B5" w:rsidRDefault="007743CC" w:rsidP="007743CC">
      <w:pPr>
        <w:rPr>
          <w:rFonts w:ascii="Arial" w:hAnsi="Arial" w:cs="Arial"/>
          <w:sz w:val="22"/>
          <w:szCs w:val="22"/>
          <w:lang w:val="en-GB"/>
        </w:rPr>
      </w:pPr>
      <w:r w:rsidRPr="00E872B5">
        <w:rPr>
          <w:rFonts w:ascii="Arial" w:hAnsi="Arial" w:cs="Arial"/>
          <w:noProof/>
          <w:sz w:val="22"/>
          <w:szCs w:val="22"/>
          <w:lang w:val="en-GB"/>
        </w:rPr>
        <w:drawing>
          <wp:inline distT="0" distB="0" distL="0" distR="0" wp14:anchorId="09498D67" wp14:editId="65C26808">
            <wp:extent cx="5758180" cy="306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8180" cy="3068955"/>
                    </a:xfrm>
                    <a:prstGeom prst="rect">
                      <a:avLst/>
                    </a:prstGeom>
                    <a:noFill/>
                    <a:ln>
                      <a:noFill/>
                    </a:ln>
                  </pic:spPr>
                </pic:pic>
              </a:graphicData>
            </a:graphic>
          </wp:inline>
        </w:drawing>
      </w:r>
    </w:p>
    <w:p w14:paraId="00DEA7C2" w14:textId="3C822AAA" w:rsidR="007743CC" w:rsidRPr="00E872B5" w:rsidRDefault="007743CC" w:rsidP="00211245">
      <w:pPr>
        <w:jc w:val="center"/>
        <w:rPr>
          <w:i/>
          <w:color w:val="595959" w:themeColor="text1" w:themeTint="A6"/>
          <w:sz w:val="22"/>
          <w:szCs w:val="22"/>
          <w:lang w:val="en-GB"/>
        </w:rPr>
      </w:pPr>
      <w:bookmarkStart w:id="2" w:name="_Toc1465622"/>
      <w:r w:rsidRPr="00E872B5">
        <w:rPr>
          <w:i/>
          <w:color w:val="595959" w:themeColor="text1" w:themeTint="A6"/>
          <w:sz w:val="22"/>
          <w:szCs w:val="22"/>
          <w:lang w:val="en-GB"/>
        </w:rPr>
        <w:t xml:space="preserve">Figure </w:t>
      </w:r>
      <w:r w:rsidR="00211245" w:rsidRPr="00E872B5">
        <w:rPr>
          <w:i/>
          <w:color w:val="595959" w:themeColor="text1" w:themeTint="A6"/>
          <w:sz w:val="22"/>
          <w:szCs w:val="22"/>
          <w:lang w:val="en-GB"/>
        </w:rPr>
        <w:t>1</w:t>
      </w:r>
      <w:r w:rsidRPr="00E872B5">
        <w:rPr>
          <w:i/>
          <w:color w:val="595959" w:themeColor="text1" w:themeTint="A6"/>
          <w:sz w:val="22"/>
          <w:szCs w:val="22"/>
          <w:lang w:val="en-GB"/>
        </w:rPr>
        <w:t xml:space="preserve">: Hyperspectral data </w:t>
      </w:r>
      <w:r w:rsidR="00E872B5" w:rsidRPr="00E872B5">
        <w:rPr>
          <w:i/>
          <w:color w:val="595959" w:themeColor="text1" w:themeTint="A6"/>
          <w:sz w:val="22"/>
          <w:szCs w:val="22"/>
          <w:lang w:val="en-GB"/>
        </w:rPr>
        <w:fldChar w:fldCharType="begin"/>
      </w:r>
      <w:r w:rsidR="00E872B5" w:rsidRPr="00E872B5">
        <w:rPr>
          <w:i/>
          <w:color w:val="595959" w:themeColor="text1" w:themeTint="A6"/>
          <w:sz w:val="22"/>
          <w:szCs w:val="22"/>
          <w:lang w:val="en-GB"/>
        </w:rPr>
        <w:instrText xml:space="preserve"> ADDIN EN.CITE &lt;EndNote&gt;&lt;Cite&gt;&lt;Author&gt;Mehta&lt;/Author&gt;&lt;Year&gt;2018&lt;/Year&gt;&lt;RecNum&gt;679&lt;/RecNum&gt;&lt;DisplayText&gt;(Mehta&lt;style face="italic"&gt; et al.&lt;/style&gt;, 2018)&lt;/DisplayText&gt;&lt;record&gt;&lt;rec-number&gt;679&lt;/rec-number&gt;&lt;foreign-keys&gt;&lt;key app="EN" db-id="0295evrvgd95rcezz5rp000btefsrzda50vd"&gt;679&lt;/key&gt;&lt;/foreign-keys&gt;&lt;ref-type name="Journal Article"&gt;17&lt;/ref-type&gt;&lt;contributors&gt;&lt;authors&gt;&lt;author&gt;Mehta, Nishir&lt;/author&gt;&lt;author&gt;Shaik, Shahensha&lt;/author&gt;&lt;author&gt;Devireddy, Ram&lt;/author&gt;&lt;author&gt;Gartia, Manas Ranjan&lt;/author&gt;&lt;/authors&gt;&lt;/contributors&gt;&lt;titles&gt;&lt;title&gt;Single-Cell Analysis Using Hyperspectral Imaging Modalities&lt;/title&gt;&lt;secondary-title&gt;Journal of Biomechanical Engineering&lt;/secondary-title&gt;&lt;/titles&gt;&lt;periodical&gt;&lt;full-title&gt;Journal of Biomechanical Engineering&lt;/full-title&gt;&lt;/periodical&gt;&lt;pages&gt;020802-020802-16&lt;/pages&gt;&lt;volume&gt;140&lt;/volume&gt;&lt;number&gt;2&lt;/number&gt;&lt;dates&gt;&lt;year&gt;2018&lt;/year&gt;&lt;/dates&gt;&lt;publisher&gt;ASME&lt;/publisher&gt;&lt;isbn&gt;0148-0731&lt;/isbn&gt;&lt;urls&gt;&lt;related-urls&gt;&lt;url&gt;http://dx.doi.org/10.1115/1.4038638&lt;/url&gt;&lt;/related-urls&gt;&lt;/urls&gt;&lt;electronic-resource-num&gt;10.1115/1.4038638&lt;/electronic-resource-num&gt;&lt;/record&gt;&lt;/Cite&gt;&lt;/EndNote&gt;</w:instrText>
      </w:r>
      <w:r w:rsidR="00E872B5" w:rsidRPr="00E872B5">
        <w:rPr>
          <w:i/>
          <w:color w:val="595959" w:themeColor="text1" w:themeTint="A6"/>
          <w:sz w:val="22"/>
          <w:szCs w:val="22"/>
          <w:lang w:val="en-GB"/>
        </w:rPr>
        <w:fldChar w:fldCharType="separate"/>
      </w:r>
      <w:r w:rsidR="00E872B5" w:rsidRPr="00E872B5">
        <w:rPr>
          <w:i/>
          <w:noProof/>
          <w:color w:val="595959" w:themeColor="text1" w:themeTint="A6"/>
          <w:sz w:val="22"/>
          <w:szCs w:val="22"/>
          <w:lang w:val="en-GB"/>
        </w:rPr>
        <w:t>(</w:t>
      </w:r>
      <w:hyperlink w:anchor="_ENREF_2" w:tooltip="Mehta, 2018 #679" w:history="1">
        <w:r w:rsidR="00E872B5" w:rsidRPr="00E872B5">
          <w:rPr>
            <w:i/>
            <w:noProof/>
            <w:color w:val="595959" w:themeColor="text1" w:themeTint="A6"/>
            <w:sz w:val="22"/>
            <w:szCs w:val="22"/>
            <w:lang w:val="en-GB"/>
          </w:rPr>
          <w:t>Mehta et al., 2018</w:t>
        </w:r>
      </w:hyperlink>
      <w:r w:rsidR="00E872B5" w:rsidRPr="00E872B5">
        <w:rPr>
          <w:i/>
          <w:noProof/>
          <w:color w:val="595959" w:themeColor="text1" w:themeTint="A6"/>
          <w:sz w:val="22"/>
          <w:szCs w:val="22"/>
          <w:lang w:val="en-GB"/>
        </w:rPr>
        <w:t>)</w:t>
      </w:r>
      <w:r w:rsidR="00E872B5" w:rsidRPr="00E872B5">
        <w:rPr>
          <w:i/>
          <w:color w:val="595959" w:themeColor="text1" w:themeTint="A6"/>
          <w:sz w:val="22"/>
          <w:szCs w:val="22"/>
          <w:lang w:val="en-GB"/>
        </w:rPr>
        <w:fldChar w:fldCharType="end"/>
      </w:r>
      <w:r w:rsidRPr="00E872B5">
        <w:rPr>
          <w:i/>
          <w:color w:val="595959" w:themeColor="text1" w:themeTint="A6"/>
          <w:sz w:val="22"/>
          <w:szCs w:val="22"/>
          <w:lang w:val="en-GB"/>
        </w:rPr>
        <w:t>.</w:t>
      </w:r>
      <w:bookmarkEnd w:id="2"/>
    </w:p>
    <w:p w14:paraId="78D67FD3" w14:textId="77777777" w:rsidR="007743CC" w:rsidRPr="00E872B5" w:rsidRDefault="007743CC" w:rsidP="007743CC">
      <w:pPr>
        <w:pStyle w:val="Caption"/>
        <w:rPr>
          <w:lang w:val="en-GB"/>
        </w:rPr>
      </w:pPr>
    </w:p>
    <w:p w14:paraId="57F2A8A4" w14:textId="4BF16FA6" w:rsidR="007743CC" w:rsidRPr="00E872B5" w:rsidRDefault="007743CC" w:rsidP="007743CC">
      <w:pPr>
        <w:spacing w:line="276" w:lineRule="auto"/>
        <w:rPr>
          <w:szCs w:val="24"/>
          <w:lang w:val="en-GB"/>
        </w:rPr>
      </w:pPr>
      <w:r w:rsidRPr="00E872B5">
        <w:rPr>
          <w:szCs w:val="24"/>
          <w:lang w:val="en-GB"/>
        </w:rPr>
        <w:t xml:space="preserve">Libraries of spectra, available for numerous minerals </w:t>
      </w:r>
      <w:r w:rsidRPr="00E872B5">
        <w:rPr>
          <w:szCs w:val="24"/>
          <w:lang w:val="en-GB"/>
        </w:rPr>
        <w:fldChar w:fldCharType="begin"/>
      </w:r>
      <w:r w:rsidRPr="00E872B5">
        <w:rPr>
          <w:szCs w:val="24"/>
          <w:lang w:val="en-GB"/>
        </w:rPr>
        <w:instrText xml:space="preserve"> ADDIN EN.CITE &lt;EndNote&gt;&lt;Cite&gt;&lt;Author&gt;Kokaly&lt;/Author&gt;&lt;Year&gt;2017&lt;/Year&gt;&lt;RecNum&gt;859&lt;/RecNum&gt;&lt;DisplayText&gt;(Kokaly&lt;style face="italic"&gt; et al.&lt;/style&gt;, 2017)&lt;/DisplayText&gt;&lt;record&gt;&lt;rec-number&gt;859&lt;/rec-number&gt;&lt;foreign-keys&gt;&lt;key app="EN" db-id="0295evrvgd95rcezz5rp000btefsrzda50vd"&gt;859&lt;/key&gt;&lt;/foreign-keys&gt;&lt;ref-type name="Report"&gt;27&lt;/ref-type&gt;&lt;contributors&gt;&lt;authors&gt;&lt;author&gt;Kokaly, Raymond F.  &lt;/author&gt;&lt;author&gt;Clark, Roger N. &lt;/author&gt;&lt;author&gt;Swayze, Gregg A. &lt;/author&gt;&lt;author&gt;Livo, K. Eric &lt;/author&gt;&lt;author&gt;Hoefen, Todd M. &lt;/author&gt;&lt;author&gt;Pearson, Neil C. &lt;/author&gt;&lt;author&gt;Wise, Richard A. &lt;/author&gt;&lt;author&gt;Benzel, William M. &lt;/author&gt;&lt;author&gt;Lowers, Heather A. &lt;/author&gt;&lt;author&gt;Driscoll, Rhonda L. &lt;/author&gt;&lt;author&gt;Klein, Anna J. &lt;/author&gt;&lt;/authors&gt;&lt;secondary-authors&gt;&lt;author&gt; U.S. Geological Survey Data Series&lt;/author&gt;&lt;/secondary-authors&gt;&lt;/contributors&gt;&lt;titles&gt;&lt;title&gt; USGS Spectral Library Version 7&lt;/title&gt;&lt;/titles&gt;&lt;pages&gt;61&lt;/pages&gt;&lt;volume&gt;1035&lt;/volume&gt;&lt;dates&gt;&lt;year&gt;2017&lt;/year&gt;&lt;/dates&gt;&lt;urls&gt;&lt;/urls&gt;&lt;electronic-resource-num&gt;https://pubs.er.usgs.gov/publication/ds1035&lt;/electronic-resource-num&gt;&lt;/record&gt;&lt;/Cite&gt;&lt;/EndNote&gt;</w:instrText>
      </w:r>
      <w:r w:rsidRPr="00E872B5">
        <w:rPr>
          <w:szCs w:val="24"/>
          <w:lang w:val="en-GB"/>
        </w:rPr>
        <w:fldChar w:fldCharType="separate"/>
      </w:r>
      <w:r w:rsidRPr="00E872B5">
        <w:rPr>
          <w:noProof/>
          <w:szCs w:val="24"/>
          <w:lang w:val="en-GB"/>
        </w:rPr>
        <w:t>(</w:t>
      </w:r>
      <w:hyperlink w:anchor="_ENREF_1" w:tooltip="Kokaly, 2017 #859" w:history="1">
        <w:r w:rsidR="00E872B5" w:rsidRPr="00E872B5">
          <w:rPr>
            <w:noProof/>
            <w:szCs w:val="24"/>
            <w:lang w:val="en-GB"/>
          </w:rPr>
          <w:t>Kokaly</w:t>
        </w:r>
        <w:r w:rsidR="00E872B5" w:rsidRPr="00E872B5">
          <w:rPr>
            <w:i/>
            <w:noProof/>
            <w:szCs w:val="24"/>
            <w:lang w:val="en-GB"/>
          </w:rPr>
          <w:t xml:space="preserve"> et al.</w:t>
        </w:r>
        <w:r w:rsidR="00E872B5" w:rsidRPr="00E872B5">
          <w:rPr>
            <w:noProof/>
            <w:szCs w:val="24"/>
            <w:lang w:val="en-GB"/>
          </w:rPr>
          <w:t>, 2017</w:t>
        </w:r>
      </w:hyperlink>
      <w:r w:rsidRPr="00E872B5">
        <w:rPr>
          <w:noProof/>
          <w:szCs w:val="24"/>
          <w:lang w:val="en-GB"/>
        </w:rPr>
        <w:t>)</w:t>
      </w:r>
      <w:r w:rsidRPr="00E872B5">
        <w:rPr>
          <w:szCs w:val="24"/>
          <w:lang w:val="en-GB"/>
        </w:rPr>
        <w:fldChar w:fldCharType="end"/>
      </w:r>
      <w:r w:rsidRPr="00E872B5">
        <w:rPr>
          <w:szCs w:val="24"/>
          <w:lang w:val="en-GB"/>
        </w:rPr>
        <w:t>, allow a direct comparison with the spectra obtained for each pixel using hyperspectral imaging techniques. Below is an example of the spectra in the Near Visible Short Wave Infra-Red (VN-SWIR) wavelength of common carbonates encountered in carbonatites (</w:t>
      </w:r>
      <w:r w:rsidRPr="00E872B5">
        <w:rPr>
          <w:szCs w:val="24"/>
          <w:highlight w:val="cyan"/>
          <w:lang w:val="en-GB"/>
        </w:rPr>
        <w:t xml:space="preserve">Fig. </w:t>
      </w:r>
      <w:r w:rsidR="00211245" w:rsidRPr="00E872B5">
        <w:rPr>
          <w:szCs w:val="24"/>
          <w:lang w:val="en-GB"/>
        </w:rPr>
        <w:t>2</w:t>
      </w:r>
      <w:r w:rsidRPr="00E872B5">
        <w:rPr>
          <w:szCs w:val="24"/>
          <w:lang w:val="en-GB"/>
        </w:rPr>
        <w:t xml:space="preserve">). This diagram illustrates that different carbonate can be distinguished based on the position of the trough in the spectra. </w:t>
      </w:r>
      <w:r w:rsidR="00E872B5" w:rsidRPr="00E872B5">
        <w:rPr>
          <w:szCs w:val="24"/>
          <w:lang w:val="en-GB"/>
        </w:rPr>
        <w:t>m</w:t>
      </w:r>
      <w:r w:rsidRPr="00E872B5">
        <w:rPr>
          <w:szCs w:val="24"/>
          <w:lang w:val="en-GB"/>
        </w:rPr>
        <w:t>agnesium-rich carbonate (dolomite), have a trough occurring at shorter wavelength than calcium-rich carbonate (calcite).</w:t>
      </w:r>
    </w:p>
    <w:p w14:paraId="133C8741" w14:textId="77777777" w:rsidR="007743CC" w:rsidRPr="00E872B5" w:rsidRDefault="007743CC" w:rsidP="007743CC">
      <w:pPr>
        <w:jc w:val="center"/>
        <w:rPr>
          <w:szCs w:val="24"/>
          <w:lang w:val="en-GB"/>
        </w:rPr>
      </w:pPr>
      <w:r w:rsidRPr="00E872B5">
        <w:rPr>
          <w:noProof/>
          <w:szCs w:val="24"/>
          <w:lang w:val="en-GB"/>
        </w:rPr>
        <w:lastRenderedPageBreak/>
        <w:drawing>
          <wp:inline distT="0" distB="0" distL="0" distR="0" wp14:anchorId="6E1DDCE9" wp14:editId="0AB0C6F7">
            <wp:extent cx="4221480" cy="2941320"/>
            <wp:effectExtent l="0" t="0" r="762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bonateVNSWIRSignature.tiff"/>
                    <pic:cNvPicPr/>
                  </pic:nvPicPr>
                  <pic:blipFill rotWithShape="1">
                    <a:blip r:embed="rId7" cstate="print">
                      <a:extLst>
                        <a:ext uri="{28A0092B-C50C-407E-A947-70E740481C1C}">
                          <a14:useLocalDpi xmlns:a14="http://schemas.microsoft.com/office/drawing/2010/main" val="0"/>
                        </a:ext>
                      </a:extLst>
                    </a:blip>
                    <a:srcRect l="10452" t="34329" r="16261" b="29566"/>
                    <a:stretch/>
                  </pic:blipFill>
                  <pic:spPr bwMode="auto">
                    <a:xfrm>
                      <a:off x="0" y="0"/>
                      <a:ext cx="4221480" cy="2941320"/>
                    </a:xfrm>
                    <a:prstGeom prst="rect">
                      <a:avLst/>
                    </a:prstGeom>
                    <a:ln>
                      <a:noFill/>
                    </a:ln>
                    <a:extLst>
                      <a:ext uri="{53640926-AAD7-44D8-BBD7-CCE9431645EC}">
                        <a14:shadowObscured xmlns:a14="http://schemas.microsoft.com/office/drawing/2010/main"/>
                      </a:ext>
                    </a:extLst>
                  </pic:spPr>
                </pic:pic>
              </a:graphicData>
            </a:graphic>
          </wp:inline>
        </w:drawing>
      </w:r>
    </w:p>
    <w:p w14:paraId="141D7CC4" w14:textId="43446B0E" w:rsidR="007743CC" w:rsidRPr="00E872B5" w:rsidRDefault="007743CC" w:rsidP="007743CC">
      <w:pPr>
        <w:pStyle w:val="Caption"/>
        <w:rPr>
          <w:i w:val="0"/>
          <w:lang w:val="en-GB"/>
        </w:rPr>
      </w:pPr>
      <w:bookmarkStart w:id="3" w:name="_Toc1465623"/>
      <w:r w:rsidRPr="00E872B5">
        <w:rPr>
          <w:lang w:val="en-GB"/>
        </w:rPr>
        <w:t>Figure</w:t>
      </w:r>
      <w:r w:rsidR="00211245" w:rsidRPr="00E872B5">
        <w:rPr>
          <w:noProof/>
          <w:lang w:val="en-GB"/>
        </w:rPr>
        <w:t xml:space="preserve"> 2</w:t>
      </w:r>
      <w:r w:rsidRPr="00E872B5">
        <w:rPr>
          <w:i w:val="0"/>
          <w:lang w:val="en-GB"/>
        </w:rPr>
        <w:t xml:space="preserve">: </w:t>
      </w:r>
      <w:r w:rsidRPr="00E872B5">
        <w:rPr>
          <w:lang w:val="en-GB"/>
        </w:rPr>
        <w:t>VN-SWIR spectra for various carbonates commonly found in carbonatites.</w:t>
      </w:r>
      <w:bookmarkEnd w:id="3"/>
      <w:r w:rsidRPr="00E872B5">
        <w:rPr>
          <w:lang w:val="en-GB"/>
        </w:rPr>
        <w:t xml:space="preserve"> </w:t>
      </w:r>
    </w:p>
    <w:p w14:paraId="4A482EDD" w14:textId="77777777" w:rsidR="007743CC" w:rsidRPr="00E872B5" w:rsidRDefault="007743CC" w:rsidP="007743CC">
      <w:pPr>
        <w:rPr>
          <w:szCs w:val="24"/>
          <w:lang w:val="en-GB"/>
        </w:rPr>
      </w:pPr>
    </w:p>
    <w:p w14:paraId="4E3AAEF3" w14:textId="77777777" w:rsidR="007743CC" w:rsidRPr="00E872B5" w:rsidRDefault="007743CC" w:rsidP="00211245">
      <w:pPr>
        <w:pStyle w:val="Heading1"/>
        <w:rPr>
          <w:lang w:val="en-GB"/>
        </w:rPr>
      </w:pPr>
      <w:bookmarkStart w:id="4" w:name="_Toc1042871"/>
      <w:proofErr w:type="spellStart"/>
      <w:r w:rsidRPr="00E872B5">
        <w:rPr>
          <w:lang w:val="en-GB"/>
        </w:rPr>
        <w:t>SisuRock</w:t>
      </w:r>
      <w:proofErr w:type="spellEnd"/>
      <w:r w:rsidRPr="00E872B5">
        <w:rPr>
          <w:lang w:val="en-GB"/>
        </w:rPr>
        <w:t xml:space="preserve"> Gen 2 system</w:t>
      </w:r>
      <w:bookmarkEnd w:id="4"/>
    </w:p>
    <w:p w14:paraId="3C5671E0" w14:textId="77777777" w:rsidR="007743CC" w:rsidRPr="00E872B5" w:rsidRDefault="007743CC" w:rsidP="007743CC">
      <w:pPr>
        <w:rPr>
          <w:rFonts w:ascii="Arial" w:hAnsi="Arial" w:cs="Arial"/>
          <w:lang w:val="en-GB"/>
        </w:rPr>
      </w:pPr>
    </w:p>
    <w:p w14:paraId="5B5B70CB" w14:textId="77777777" w:rsidR="007743CC" w:rsidRPr="00E872B5" w:rsidRDefault="007743CC" w:rsidP="007743CC">
      <w:pPr>
        <w:spacing w:line="276" w:lineRule="auto"/>
        <w:rPr>
          <w:lang w:val="en-GB"/>
        </w:rPr>
      </w:pPr>
      <w:proofErr w:type="spellStart"/>
      <w:r w:rsidRPr="00E872B5">
        <w:rPr>
          <w:lang w:val="en-GB"/>
        </w:rPr>
        <w:t>TerraCore</w:t>
      </w:r>
      <w:proofErr w:type="spellEnd"/>
      <w:r w:rsidRPr="00E872B5">
        <w:rPr>
          <w:lang w:val="en-GB"/>
        </w:rPr>
        <w:t xml:space="preserve"> was contracted to conduct hyperspectral scanning on cores from the two deep bore holes. Scanning of the cores was performed, at the GTK core storage facility in Rovaniemi (Northern Finland). The system was composed of a </w:t>
      </w:r>
      <w:proofErr w:type="spellStart"/>
      <w:r w:rsidRPr="00E872B5">
        <w:rPr>
          <w:lang w:val="en-GB"/>
        </w:rPr>
        <w:t>SisuRock</w:t>
      </w:r>
      <w:proofErr w:type="spellEnd"/>
      <w:r w:rsidRPr="00E872B5">
        <w:rPr>
          <w:lang w:val="en-GB"/>
        </w:rPr>
        <w:t xml:space="preserve"> Gen2 which contains three cameras: a high-resolution natural-colour Red-Green-Blue (RGB) camera, a co-registered VNIR-SWIR camera (FENIX), and a Long Wavelength Infra-Red (LWIR) camera (OWL). The wavelengths covered are the following: Visible-Near Infrared (VNIR), Short Wave Infrared (SWIR) and Long Wave Infrared (LWIR).</w:t>
      </w:r>
    </w:p>
    <w:p w14:paraId="5E031474" w14:textId="77777777" w:rsidR="007743CC" w:rsidRPr="00E872B5" w:rsidRDefault="007743CC" w:rsidP="007743CC">
      <w:pPr>
        <w:spacing w:line="276" w:lineRule="auto"/>
        <w:rPr>
          <w:lang w:val="en-GB"/>
        </w:rPr>
      </w:pPr>
      <w:r w:rsidRPr="00E872B5">
        <w:rPr>
          <w:lang w:val="en-GB"/>
        </w:rPr>
        <w:t>Calibration of the cameras is performed twice a day, before and after the scanning session.</w:t>
      </w:r>
    </w:p>
    <w:p w14:paraId="373497E2" w14:textId="49571532" w:rsidR="007743CC" w:rsidRPr="00E872B5" w:rsidRDefault="007743CC" w:rsidP="007743CC">
      <w:pPr>
        <w:spacing w:line="276" w:lineRule="auto"/>
        <w:rPr>
          <w:lang w:val="en-GB"/>
        </w:rPr>
      </w:pPr>
      <w:r w:rsidRPr="00E872B5">
        <w:rPr>
          <w:lang w:val="en-GB"/>
        </w:rPr>
        <w:t xml:space="preserve">A standard reference board is used to check that no wavelength </w:t>
      </w:r>
      <w:r w:rsidR="00211245" w:rsidRPr="00E872B5">
        <w:rPr>
          <w:lang w:val="en-GB"/>
        </w:rPr>
        <w:t>shifts</w:t>
      </w:r>
      <w:r w:rsidRPr="00E872B5">
        <w:rPr>
          <w:lang w:val="en-GB"/>
        </w:rPr>
        <w:t xml:space="preserve"> in the cameras occurred. Rock with known spectra are scanned. In addition to spectral check, the colour balance, focus and aspect-ratio of the cameras can be adjusted, using the same calibration table.</w:t>
      </w:r>
    </w:p>
    <w:p w14:paraId="77B38899" w14:textId="77777777" w:rsidR="007743CC" w:rsidRPr="00E872B5" w:rsidRDefault="007743CC" w:rsidP="007743CC">
      <w:pPr>
        <w:spacing w:line="276" w:lineRule="auto"/>
        <w:rPr>
          <w:lang w:val="en-GB"/>
        </w:rPr>
      </w:pPr>
      <w:r w:rsidRPr="00E872B5">
        <w:rPr>
          <w:lang w:val="en-GB"/>
        </w:rPr>
        <w:t xml:space="preserve">The quality of the images is accessed after each scan by the operator on site. Later, a second pre-processing quality check was performed at the central processing centre in Johannesburg, South Africa. Later, the data were sent to the processing centre of Reno, Nevada, USA. </w:t>
      </w:r>
    </w:p>
    <w:p w14:paraId="3D8C4B12" w14:textId="77777777" w:rsidR="007743CC" w:rsidRPr="00E872B5" w:rsidRDefault="007743CC" w:rsidP="007743CC">
      <w:pPr>
        <w:rPr>
          <w:lang w:val="en-GB"/>
        </w:rPr>
      </w:pPr>
    </w:p>
    <w:p w14:paraId="4A28C42F" w14:textId="77777777" w:rsidR="007743CC" w:rsidRPr="00E872B5" w:rsidRDefault="007743CC" w:rsidP="007743CC">
      <w:pPr>
        <w:jc w:val="center"/>
        <w:rPr>
          <w:rFonts w:ascii="Arial" w:hAnsi="Arial" w:cs="Arial"/>
          <w:sz w:val="22"/>
          <w:szCs w:val="22"/>
          <w:lang w:val="en-GB"/>
        </w:rPr>
      </w:pPr>
      <w:r w:rsidRPr="00E872B5">
        <w:rPr>
          <w:rFonts w:ascii="Arial" w:hAnsi="Arial" w:cs="Arial"/>
          <w:noProof/>
          <w:sz w:val="22"/>
          <w:szCs w:val="22"/>
          <w:lang w:val="en-GB"/>
        </w:rPr>
        <w:lastRenderedPageBreak/>
        <w:drawing>
          <wp:inline distT="0" distB="0" distL="0" distR="0" wp14:anchorId="3ACDAFFF" wp14:editId="7FE5A14D">
            <wp:extent cx="4846670"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58" cy="3647720"/>
                    </a:xfrm>
                    <a:prstGeom prst="rect">
                      <a:avLst/>
                    </a:prstGeom>
                    <a:noFill/>
                    <a:ln>
                      <a:noFill/>
                    </a:ln>
                  </pic:spPr>
                </pic:pic>
              </a:graphicData>
            </a:graphic>
          </wp:inline>
        </w:drawing>
      </w:r>
    </w:p>
    <w:p w14:paraId="18FB2654" w14:textId="4DAB6B30" w:rsidR="007743CC" w:rsidRPr="00E872B5" w:rsidRDefault="007743CC" w:rsidP="007743CC">
      <w:pPr>
        <w:pStyle w:val="Caption"/>
        <w:rPr>
          <w:rStyle w:val="SubtleEmphasis"/>
          <w:i/>
          <w:color w:val="808080" w:themeColor="background1" w:themeShade="80"/>
          <w:sz w:val="20"/>
          <w:szCs w:val="20"/>
          <w:lang w:val="en-GB"/>
        </w:rPr>
      </w:pPr>
      <w:bookmarkStart w:id="5" w:name="_Toc1465624"/>
      <w:r w:rsidRPr="00E872B5">
        <w:rPr>
          <w:color w:val="808080" w:themeColor="background1" w:themeShade="80"/>
          <w:lang w:val="en-GB"/>
        </w:rPr>
        <w:t xml:space="preserve">Figure </w:t>
      </w:r>
      <w:r w:rsidR="00B403E8">
        <w:rPr>
          <w:color w:val="808080" w:themeColor="background1" w:themeShade="80"/>
          <w:lang w:val="en-GB"/>
        </w:rPr>
        <w:t>3</w:t>
      </w:r>
      <w:r w:rsidRPr="00E872B5">
        <w:rPr>
          <w:rStyle w:val="SubtleEmphasis"/>
          <w:color w:val="808080" w:themeColor="background1" w:themeShade="80"/>
          <w:sz w:val="20"/>
          <w:szCs w:val="20"/>
          <w:lang w:val="en-GB"/>
        </w:rPr>
        <w:t xml:space="preserve">: </w:t>
      </w:r>
      <w:r w:rsidRPr="00E872B5">
        <w:rPr>
          <w:rStyle w:val="SubtleEmphasis"/>
          <w:i/>
          <w:color w:val="808080" w:themeColor="background1" w:themeShade="80"/>
          <w:sz w:val="20"/>
          <w:szCs w:val="20"/>
          <w:lang w:val="en-GB"/>
        </w:rPr>
        <w:t xml:space="preserve">TerraCore SisuRock Gen 2 </w:t>
      </w:r>
      <w:r w:rsidRPr="00E872B5">
        <w:rPr>
          <w:rStyle w:val="SubtleEmphasis"/>
          <w:i/>
          <w:iCs/>
          <w:color w:val="808080" w:themeColor="background1" w:themeShade="80"/>
          <w:lang w:val="en-GB"/>
        </w:rPr>
        <w:t>setup</w:t>
      </w:r>
      <w:r w:rsidRPr="00E872B5">
        <w:rPr>
          <w:rStyle w:val="SubtleEmphasis"/>
          <w:i/>
          <w:color w:val="808080" w:themeColor="background1" w:themeShade="80"/>
          <w:sz w:val="20"/>
          <w:szCs w:val="20"/>
          <w:lang w:val="en-GB"/>
        </w:rPr>
        <w:t xml:space="preserve"> in Rovaniemi (photo from </w:t>
      </w:r>
      <w:proofErr w:type="spellStart"/>
      <w:r w:rsidRPr="00E872B5">
        <w:rPr>
          <w:rStyle w:val="SubtleEmphasis"/>
          <w:i/>
          <w:color w:val="808080" w:themeColor="background1" w:themeShade="80"/>
          <w:sz w:val="20"/>
          <w:szCs w:val="20"/>
          <w:lang w:val="en-GB"/>
        </w:rPr>
        <w:t>TerraCore</w:t>
      </w:r>
      <w:proofErr w:type="spellEnd"/>
      <w:r w:rsidRPr="00E872B5">
        <w:rPr>
          <w:rStyle w:val="SubtleEmphasis"/>
          <w:i/>
          <w:color w:val="808080" w:themeColor="background1" w:themeShade="80"/>
          <w:sz w:val="20"/>
          <w:szCs w:val="20"/>
          <w:lang w:val="en-GB"/>
        </w:rPr>
        <w:t>)</w:t>
      </w:r>
      <w:bookmarkEnd w:id="5"/>
    </w:p>
    <w:p w14:paraId="75FA2387" w14:textId="77777777" w:rsidR="007743CC" w:rsidRPr="00E872B5" w:rsidRDefault="007743CC" w:rsidP="007743CC">
      <w:pPr>
        <w:jc w:val="center"/>
        <w:rPr>
          <w:rFonts w:ascii="Arial" w:hAnsi="Arial" w:cs="Arial"/>
          <w:i/>
          <w:sz w:val="22"/>
          <w:szCs w:val="22"/>
          <w:lang w:val="en-GB"/>
        </w:rPr>
      </w:pPr>
    </w:p>
    <w:p w14:paraId="1831E908" w14:textId="77777777" w:rsidR="007743CC" w:rsidRPr="00E872B5" w:rsidRDefault="007743CC" w:rsidP="007743CC">
      <w:pPr>
        <w:rPr>
          <w:rFonts w:ascii="Arial" w:hAnsi="Arial" w:cs="Arial"/>
          <w:i/>
          <w:sz w:val="22"/>
          <w:szCs w:val="22"/>
          <w:lang w:val="en-GB"/>
        </w:rPr>
      </w:pPr>
    </w:p>
    <w:p w14:paraId="4DC59C77" w14:textId="77777777" w:rsidR="007743CC" w:rsidRPr="00E872B5" w:rsidRDefault="007743CC" w:rsidP="007743CC">
      <w:pPr>
        <w:jc w:val="center"/>
        <w:rPr>
          <w:rFonts w:ascii="Arial" w:hAnsi="Arial" w:cs="Arial"/>
          <w:i/>
          <w:sz w:val="22"/>
          <w:szCs w:val="22"/>
          <w:lang w:val="en-GB"/>
        </w:rPr>
      </w:pPr>
      <w:r w:rsidRPr="00E872B5">
        <w:rPr>
          <w:rFonts w:ascii="Arial" w:hAnsi="Arial" w:cs="Arial"/>
          <w:i/>
          <w:noProof/>
          <w:sz w:val="22"/>
          <w:szCs w:val="22"/>
          <w:lang w:val="en-GB"/>
        </w:rPr>
        <w:drawing>
          <wp:inline distT="0" distB="0" distL="0" distR="0" wp14:anchorId="2769F4BF" wp14:editId="26DEFAE9">
            <wp:extent cx="5273040" cy="29761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t="4677"/>
                    <a:stretch>
                      <a:fillRect/>
                    </a:stretch>
                  </pic:blipFill>
                  <pic:spPr bwMode="auto">
                    <a:xfrm>
                      <a:off x="0" y="0"/>
                      <a:ext cx="5276745" cy="2978207"/>
                    </a:xfrm>
                    <a:prstGeom prst="rect">
                      <a:avLst/>
                    </a:prstGeom>
                    <a:noFill/>
                    <a:ln>
                      <a:noFill/>
                    </a:ln>
                  </pic:spPr>
                </pic:pic>
              </a:graphicData>
            </a:graphic>
          </wp:inline>
        </w:drawing>
      </w:r>
    </w:p>
    <w:p w14:paraId="311062CA" w14:textId="44A896B0" w:rsidR="007743CC" w:rsidRPr="00E872B5" w:rsidRDefault="007743CC" w:rsidP="007743CC">
      <w:pPr>
        <w:pStyle w:val="NoSpacing"/>
        <w:jc w:val="center"/>
        <w:rPr>
          <w:rStyle w:val="SubtleEmphasis"/>
          <w:lang w:val="en-GB"/>
        </w:rPr>
      </w:pPr>
      <w:bookmarkStart w:id="6" w:name="_Toc1051150"/>
      <w:bookmarkStart w:id="7" w:name="_Toc1465138"/>
      <w:r w:rsidRPr="00E872B5">
        <w:rPr>
          <w:rStyle w:val="SubtleEmphasis"/>
          <w:lang w:val="en-GB"/>
        </w:rPr>
        <w:t xml:space="preserve">Table 2: Specifications of the </w:t>
      </w:r>
      <w:proofErr w:type="spellStart"/>
      <w:r w:rsidRPr="00E872B5">
        <w:rPr>
          <w:rStyle w:val="SubtleEmphasis"/>
          <w:lang w:val="en-GB"/>
        </w:rPr>
        <w:t>SisuRock</w:t>
      </w:r>
      <w:proofErr w:type="spellEnd"/>
      <w:r w:rsidRPr="00E872B5">
        <w:rPr>
          <w:rStyle w:val="SubtleEmphasis"/>
          <w:lang w:val="en-GB"/>
        </w:rPr>
        <w:t xml:space="preserve"> Gen 2 system (</w:t>
      </w:r>
      <w:r w:rsidR="00E872B5">
        <w:rPr>
          <w:rStyle w:val="SubtleEmphasis"/>
          <w:lang w:val="en-GB"/>
        </w:rPr>
        <w:t xml:space="preserve">provided by </w:t>
      </w:r>
      <w:proofErr w:type="spellStart"/>
      <w:r w:rsidR="00E872B5">
        <w:rPr>
          <w:rStyle w:val="SubtleEmphasis"/>
          <w:lang w:val="en-GB"/>
        </w:rPr>
        <w:t>TerraCore</w:t>
      </w:r>
      <w:proofErr w:type="spellEnd"/>
      <w:r w:rsidRPr="00E872B5">
        <w:rPr>
          <w:rStyle w:val="SubtleEmphasis"/>
          <w:lang w:val="en-GB"/>
        </w:rPr>
        <w:t>)</w:t>
      </w:r>
      <w:bookmarkEnd w:id="6"/>
      <w:bookmarkEnd w:id="7"/>
    </w:p>
    <w:p w14:paraId="5CAAA5E4" w14:textId="77777777" w:rsidR="007743CC" w:rsidRPr="00E872B5" w:rsidRDefault="007743CC" w:rsidP="007743CC">
      <w:pPr>
        <w:jc w:val="center"/>
        <w:rPr>
          <w:rStyle w:val="SubtleEmphasis"/>
          <w:lang w:val="en-GB"/>
        </w:rPr>
      </w:pPr>
    </w:p>
    <w:p w14:paraId="19AAF2BF" w14:textId="77777777" w:rsidR="007743CC" w:rsidRPr="00E872B5" w:rsidRDefault="007743CC" w:rsidP="007743CC">
      <w:pPr>
        <w:jc w:val="center"/>
        <w:rPr>
          <w:rFonts w:ascii="Arial" w:hAnsi="Arial" w:cs="Arial"/>
          <w:i/>
          <w:sz w:val="22"/>
          <w:szCs w:val="22"/>
          <w:lang w:val="en-GB"/>
        </w:rPr>
      </w:pPr>
      <w:r w:rsidRPr="00E872B5">
        <w:rPr>
          <w:rFonts w:ascii="Arial" w:hAnsi="Arial" w:cs="Arial"/>
          <w:i/>
          <w:noProof/>
          <w:sz w:val="22"/>
          <w:szCs w:val="22"/>
          <w:lang w:val="en-GB"/>
        </w:rPr>
        <w:lastRenderedPageBreak/>
        <w:drawing>
          <wp:inline distT="0" distB="0" distL="0" distR="0" wp14:anchorId="534C86F9" wp14:editId="39E2DF7D">
            <wp:extent cx="4616731" cy="4808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532" cy="4814262"/>
                    </a:xfrm>
                    <a:prstGeom prst="rect">
                      <a:avLst/>
                    </a:prstGeom>
                    <a:noFill/>
                    <a:ln>
                      <a:noFill/>
                    </a:ln>
                  </pic:spPr>
                </pic:pic>
              </a:graphicData>
            </a:graphic>
          </wp:inline>
        </w:drawing>
      </w:r>
    </w:p>
    <w:p w14:paraId="4E2F57D6" w14:textId="2D96CF5C" w:rsidR="007743CC" w:rsidRPr="00E872B5" w:rsidRDefault="007743CC" w:rsidP="007743CC">
      <w:pPr>
        <w:pStyle w:val="NoSpacing"/>
        <w:jc w:val="center"/>
        <w:rPr>
          <w:rStyle w:val="SubtleEmphasis"/>
          <w:lang w:val="en-GB"/>
        </w:rPr>
      </w:pPr>
      <w:bookmarkStart w:id="8" w:name="_Toc1051151"/>
      <w:bookmarkStart w:id="9" w:name="_Toc1465139"/>
      <w:r w:rsidRPr="00E872B5">
        <w:rPr>
          <w:rStyle w:val="SubtleEmphasis"/>
          <w:lang w:val="en-GB"/>
        </w:rPr>
        <w:t>Table 3: Detailed system setting</w:t>
      </w:r>
      <w:r w:rsidR="00E872B5">
        <w:rPr>
          <w:rStyle w:val="SubtleEmphasis"/>
          <w:lang w:val="en-GB"/>
        </w:rPr>
        <w:t>s</w:t>
      </w:r>
      <w:r w:rsidRPr="00E872B5">
        <w:rPr>
          <w:rStyle w:val="SubtleEmphasis"/>
          <w:lang w:val="en-GB"/>
        </w:rPr>
        <w:t xml:space="preserve"> used for the project (</w:t>
      </w:r>
      <w:r w:rsidR="00E872B5">
        <w:rPr>
          <w:rStyle w:val="SubtleEmphasis"/>
          <w:lang w:val="en-GB"/>
        </w:rPr>
        <w:t xml:space="preserve">provided by </w:t>
      </w:r>
      <w:proofErr w:type="spellStart"/>
      <w:r w:rsidR="00E872B5">
        <w:rPr>
          <w:rStyle w:val="SubtleEmphasis"/>
          <w:lang w:val="en-GB"/>
        </w:rPr>
        <w:t>TerraCore</w:t>
      </w:r>
      <w:proofErr w:type="spellEnd"/>
      <w:r w:rsidRPr="00E872B5">
        <w:rPr>
          <w:rStyle w:val="SubtleEmphasis"/>
          <w:lang w:val="en-GB"/>
        </w:rPr>
        <w:t>).</w:t>
      </w:r>
      <w:bookmarkEnd w:id="8"/>
      <w:bookmarkEnd w:id="9"/>
    </w:p>
    <w:p w14:paraId="3E44707D" w14:textId="77777777" w:rsidR="00E872B5" w:rsidRPr="00E872B5" w:rsidRDefault="00E872B5">
      <w:pPr>
        <w:rPr>
          <w:lang w:val="en-GB"/>
        </w:rPr>
      </w:pPr>
    </w:p>
    <w:p w14:paraId="20083AB3" w14:textId="39894D58" w:rsidR="00E872B5" w:rsidRPr="00E872B5" w:rsidRDefault="00E872B5">
      <w:pPr>
        <w:rPr>
          <w:b/>
          <w:lang w:val="en-GB"/>
        </w:rPr>
      </w:pPr>
      <w:r w:rsidRPr="00E872B5">
        <w:rPr>
          <w:b/>
          <w:lang w:val="en-GB"/>
        </w:rPr>
        <w:t>References</w:t>
      </w:r>
    </w:p>
    <w:p w14:paraId="03582BDD" w14:textId="77777777" w:rsidR="00E872B5" w:rsidRPr="00E872B5" w:rsidRDefault="00E872B5" w:rsidP="00E872B5">
      <w:pPr>
        <w:spacing w:line="240" w:lineRule="auto"/>
        <w:rPr>
          <w:noProof/>
          <w:lang w:val="en-GB"/>
        </w:rPr>
      </w:pPr>
      <w:r w:rsidRPr="00E872B5">
        <w:rPr>
          <w:lang w:val="en-GB"/>
        </w:rPr>
        <w:fldChar w:fldCharType="begin"/>
      </w:r>
      <w:r w:rsidRPr="00E872B5">
        <w:rPr>
          <w:lang w:val="en-GB"/>
        </w:rPr>
        <w:instrText xml:space="preserve"> ADDIN EN.REFLIST </w:instrText>
      </w:r>
      <w:r w:rsidRPr="00E872B5">
        <w:rPr>
          <w:lang w:val="en-GB"/>
        </w:rPr>
        <w:fldChar w:fldCharType="separate"/>
      </w:r>
      <w:bookmarkStart w:id="10" w:name="_ENREF_1"/>
      <w:r w:rsidRPr="00E872B5">
        <w:rPr>
          <w:noProof/>
          <w:lang w:val="en-GB"/>
        </w:rPr>
        <w:t>Kokaly, R. F., Clark, R. N., Swayze, G. A., Livo, K. E., Hoefen, T. M., Pearson, N. C., Wise, R. A., Benzel, W. M., Lowers, H. A., Driscoll, R. L. &amp; Klein, A. J. (2017). USGS Spectral Library Version 7. In: Series, U. S. G. S. D. (ed.), 61.</w:t>
      </w:r>
      <w:bookmarkEnd w:id="10"/>
    </w:p>
    <w:p w14:paraId="0BBBA435" w14:textId="77777777" w:rsidR="00E872B5" w:rsidRPr="00E872B5" w:rsidRDefault="00E872B5" w:rsidP="00E872B5">
      <w:pPr>
        <w:spacing w:line="240" w:lineRule="auto"/>
        <w:rPr>
          <w:noProof/>
          <w:lang w:val="en-GB"/>
        </w:rPr>
      </w:pPr>
      <w:bookmarkStart w:id="11" w:name="_ENREF_2"/>
      <w:r w:rsidRPr="00E872B5">
        <w:rPr>
          <w:noProof/>
          <w:lang w:val="en-GB"/>
        </w:rPr>
        <w:t xml:space="preserve">Mehta, N., Shaik, S., Devireddy, R. &amp; Gartia, M. R. (2018). Single-Cell Analysis Using Hyperspectral Imaging Modalities. </w:t>
      </w:r>
      <w:r w:rsidRPr="00E872B5">
        <w:rPr>
          <w:i/>
          <w:noProof/>
          <w:lang w:val="en-GB"/>
        </w:rPr>
        <w:t xml:space="preserve">Journal of Biomechanical Engineering </w:t>
      </w:r>
      <w:r w:rsidRPr="00E872B5">
        <w:rPr>
          <w:b/>
          <w:noProof/>
          <w:lang w:val="en-GB"/>
        </w:rPr>
        <w:t>140</w:t>
      </w:r>
      <w:r w:rsidRPr="00E872B5">
        <w:rPr>
          <w:noProof/>
          <w:lang w:val="en-GB"/>
        </w:rPr>
        <w:t>, 020802-020802-020816.</w:t>
      </w:r>
      <w:bookmarkEnd w:id="11"/>
    </w:p>
    <w:p w14:paraId="4BCE35C1" w14:textId="77777777" w:rsidR="00E872B5" w:rsidRPr="00E872B5" w:rsidRDefault="00E872B5" w:rsidP="00E872B5">
      <w:pPr>
        <w:spacing w:line="240" w:lineRule="auto"/>
        <w:rPr>
          <w:noProof/>
          <w:lang w:val="en-GB"/>
        </w:rPr>
      </w:pPr>
      <w:bookmarkStart w:id="12" w:name="_ENREF_3"/>
      <w:r w:rsidRPr="00E872B5">
        <w:rPr>
          <w:noProof/>
          <w:lang w:val="en-GB"/>
        </w:rPr>
        <w:t>Neave, D. A., Black, M., Riley, T. R., Gibson, S. A., Ferrier, G., Wall, F. &amp; Broom-Fendley, S. (2018). On the Feasibility of Imaging Carbonatite-Hosted Rare Earth Element Deposits</w:t>
      </w:r>
    </w:p>
    <w:p w14:paraId="7C4AF1CA" w14:textId="77777777" w:rsidR="00E872B5" w:rsidRPr="00E872B5" w:rsidRDefault="00E872B5" w:rsidP="00E872B5">
      <w:pPr>
        <w:spacing w:line="240" w:lineRule="auto"/>
        <w:rPr>
          <w:noProof/>
          <w:lang w:val="en-GB"/>
        </w:rPr>
      </w:pPr>
      <w:r w:rsidRPr="00E872B5">
        <w:rPr>
          <w:noProof/>
          <w:lang w:val="en-GB"/>
        </w:rPr>
        <w:t xml:space="preserve">Using Remote Sensing*. </w:t>
      </w:r>
      <w:r w:rsidRPr="00E872B5">
        <w:rPr>
          <w:i/>
          <w:noProof/>
          <w:lang w:val="en-GB"/>
        </w:rPr>
        <w:t xml:space="preserve">Economic Geology </w:t>
      </w:r>
      <w:r w:rsidRPr="00E872B5">
        <w:rPr>
          <w:b/>
          <w:noProof/>
          <w:lang w:val="en-GB"/>
        </w:rPr>
        <w:t>111</w:t>
      </w:r>
      <w:r w:rsidRPr="00E872B5">
        <w:rPr>
          <w:noProof/>
          <w:lang w:val="en-GB"/>
        </w:rPr>
        <w:t>, 641-665.</w:t>
      </w:r>
      <w:bookmarkEnd w:id="12"/>
    </w:p>
    <w:p w14:paraId="41881973" w14:textId="40F118A3" w:rsidR="00E872B5" w:rsidRPr="00E872B5" w:rsidRDefault="00E872B5" w:rsidP="00E872B5">
      <w:pPr>
        <w:spacing w:line="240" w:lineRule="auto"/>
        <w:rPr>
          <w:noProof/>
          <w:lang w:val="en-GB"/>
        </w:rPr>
      </w:pPr>
    </w:p>
    <w:p w14:paraId="19C0AC75" w14:textId="70076908" w:rsidR="00C75403" w:rsidRPr="00E872B5" w:rsidRDefault="00E872B5">
      <w:pPr>
        <w:rPr>
          <w:lang w:val="en-GB"/>
        </w:rPr>
      </w:pPr>
      <w:r w:rsidRPr="00E872B5">
        <w:rPr>
          <w:lang w:val="en-GB"/>
        </w:rPr>
        <w:fldChar w:fldCharType="end"/>
      </w:r>
    </w:p>
    <w:sectPr w:rsidR="00C75403" w:rsidRPr="00E872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17404A0"/>
    <w:lvl w:ilvl="0">
      <w:start w:val="1"/>
      <w:numFmt w:val="decimal"/>
      <w:pStyle w:val="Heading1"/>
      <w:lvlText w:val="%1."/>
      <w:legacy w:legacy="1" w:legacySpace="227"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Pet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295evrvgd95rcezz5rp000btefsrzda50vd&quot;&gt;My EndNote Library&lt;record-ids&gt;&lt;item&gt;679&lt;/item&gt;&lt;item&gt;691&lt;/item&gt;&lt;item&gt;859&lt;/item&gt;&lt;/record-ids&gt;&lt;/item&gt;&lt;/Libraries&gt;"/>
  </w:docVars>
  <w:rsids>
    <w:rsidRoot w:val="007743CC"/>
    <w:rsid w:val="00211245"/>
    <w:rsid w:val="007743CC"/>
    <w:rsid w:val="007A40D9"/>
    <w:rsid w:val="007D3A81"/>
    <w:rsid w:val="00B403E8"/>
    <w:rsid w:val="00BC562A"/>
    <w:rsid w:val="00E87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DDC68"/>
  <w15:chartTrackingRefBased/>
  <w15:docId w15:val="{76A64E59-FB93-4DF1-AE27-C8ABF166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3CC"/>
    <w:pPr>
      <w:spacing w:after="0" w:line="36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7743CC"/>
    <w:pPr>
      <w:keepNext/>
      <w:numPr>
        <w:numId w:val="1"/>
      </w:numPr>
      <w:spacing w:before="240" w:after="60" w:line="288" w:lineRule="auto"/>
      <w:outlineLvl w:val="0"/>
    </w:pPr>
    <w:rPr>
      <w:b/>
    </w:rPr>
  </w:style>
  <w:style w:type="paragraph" w:styleId="Heading2">
    <w:name w:val="heading 2"/>
    <w:basedOn w:val="Normal"/>
    <w:next w:val="Normal"/>
    <w:link w:val="Heading2Char"/>
    <w:qFormat/>
    <w:rsid w:val="007743CC"/>
    <w:pPr>
      <w:keepNext/>
      <w:numPr>
        <w:ilvl w:val="1"/>
        <w:numId w:val="1"/>
      </w:numPr>
      <w:spacing w:before="240" w:after="60" w:line="288" w:lineRule="auto"/>
      <w:outlineLvl w:val="1"/>
    </w:pPr>
    <w:rPr>
      <w:b/>
    </w:rPr>
  </w:style>
  <w:style w:type="paragraph" w:styleId="Heading3">
    <w:name w:val="heading 3"/>
    <w:basedOn w:val="Normal"/>
    <w:next w:val="Normal"/>
    <w:link w:val="Heading3Char"/>
    <w:qFormat/>
    <w:rsid w:val="007743CC"/>
    <w:pPr>
      <w:keepNext/>
      <w:numPr>
        <w:ilvl w:val="2"/>
        <w:numId w:val="1"/>
      </w:numPr>
      <w:spacing w:before="240" w:after="60" w:line="288" w:lineRule="auto"/>
      <w:outlineLvl w:val="2"/>
    </w:pPr>
    <w:rPr>
      <w:u w:val="single"/>
    </w:rPr>
  </w:style>
  <w:style w:type="paragraph" w:styleId="Heading4">
    <w:name w:val="heading 4"/>
    <w:basedOn w:val="Normal"/>
    <w:next w:val="Normal"/>
    <w:link w:val="Heading4Char"/>
    <w:qFormat/>
    <w:rsid w:val="007743CC"/>
    <w:pPr>
      <w:keepNext/>
      <w:numPr>
        <w:ilvl w:val="3"/>
        <w:numId w:val="1"/>
      </w:numPr>
      <w:spacing w:before="240" w:after="60" w:line="288" w:lineRule="auto"/>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43CC"/>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7743CC"/>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7743CC"/>
    <w:rPr>
      <w:rFonts w:ascii="Times New Roman" w:eastAsia="Times New Roman" w:hAnsi="Times New Roman" w:cs="Times New Roman"/>
      <w:sz w:val="24"/>
      <w:szCs w:val="20"/>
      <w:u w:val="single"/>
    </w:rPr>
  </w:style>
  <w:style w:type="character" w:customStyle="1" w:styleId="Heading4Char">
    <w:name w:val="Heading 4 Char"/>
    <w:basedOn w:val="DefaultParagraphFont"/>
    <w:link w:val="Heading4"/>
    <w:rsid w:val="007743CC"/>
    <w:rPr>
      <w:rFonts w:ascii="Times New Roman" w:eastAsia="Times New Roman" w:hAnsi="Times New Roman" w:cs="Times New Roman"/>
      <w:sz w:val="24"/>
      <w:szCs w:val="20"/>
    </w:rPr>
  </w:style>
  <w:style w:type="character" w:styleId="SubtleEmphasis">
    <w:name w:val="Subtle Emphasis"/>
    <w:aliases w:val="Figure Legend"/>
    <w:uiPriority w:val="19"/>
    <w:qFormat/>
    <w:rsid w:val="007743CC"/>
    <w:rPr>
      <w:i/>
      <w:iCs/>
      <w:color w:val="404040"/>
    </w:rPr>
  </w:style>
  <w:style w:type="paragraph" w:styleId="NoSpacing">
    <w:name w:val="No Spacing"/>
    <w:uiPriority w:val="1"/>
    <w:qFormat/>
    <w:rsid w:val="007743CC"/>
    <w:pPr>
      <w:spacing w:after="0" w:line="240" w:lineRule="auto"/>
    </w:pPr>
    <w:rPr>
      <w:rFonts w:ascii="Times New Roman" w:eastAsia="Times New Roman" w:hAnsi="Times New Roman" w:cs="Times New Roman"/>
      <w:i/>
      <w:szCs w:val="20"/>
      <w:lang w:val="nb-NO" w:eastAsia="nb-NO"/>
    </w:rPr>
  </w:style>
  <w:style w:type="paragraph" w:styleId="Caption">
    <w:name w:val="caption"/>
    <w:basedOn w:val="Normal"/>
    <w:next w:val="Normal"/>
    <w:uiPriority w:val="35"/>
    <w:unhideWhenUsed/>
    <w:qFormat/>
    <w:rsid w:val="007743CC"/>
    <w:pPr>
      <w:spacing w:after="200" w:line="240" w:lineRule="auto"/>
      <w:jc w:val="center"/>
    </w:pPr>
    <w:rPr>
      <w:i/>
      <w:iCs/>
      <w:color w:val="44546A" w:themeColor="text2"/>
      <w:sz w:val="22"/>
      <w:szCs w:val="18"/>
    </w:rPr>
  </w:style>
  <w:style w:type="character" w:styleId="Hyperlink">
    <w:name w:val="Hyperlink"/>
    <w:basedOn w:val="DefaultParagraphFont"/>
    <w:uiPriority w:val="99"/>
    <w:unhideWhenUsed/>
    <w:rsid w:val="00E872B5"/>
    <w:rPr>
      <w:color w:val="0563C1" w:themeColor="hyperlink"/>
      <w:u w:val="single"/>
    </w:rPr>
  </w:style>
  <w:style w:type="character" w:styleId="UnresolvedMention">
    <w:name w:val="Unresolved Mention"/>
    <w:basedOn w:val="DefaultParagraphFont"/>
    <w:uiPriority w:val="99"/>
    <w:semiHidden/>
    <w:unhideWhenUsed/>
    <w:rsid w:val="00E87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5F9D-2199-4380-A298-A220F95BD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Coint Nolwenn</dc:creator>
  <cp:keywords/>
  <dc:description/>
  <cp:lastModifiedBy>Coint Nolwenn</cp:lastModifiedBy>
  <cp:revision>5</cp:revision>
  <dcterms:created xsi:type="dcterms:W3CDTF">2019-02-19T11:47:00Z</dcterms:created>
  <dcterms:modified xsi:type="dcterms:W3CDTF">2019-02-26T18:51:00Z</dcterms:modified>
</cp:coreProperties>
</file>